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line="390" w:lineRule="atLeast"/>
        <w:jc w:val="center"/>
        <w:rPr>
          <w:rFonts w:cs="Arial" w:asciiTheme="minorEastAsia" w:hAnsiTheme="minorEastAsia"/>
          <w:b/>
          <w:kern w:val="0"/>
          <w:sz w:val="44"/>
          <w:szCs w:val="44"/>
        </w:rPr>
      </w:pPr>
      <w:r>
        <w:rPr>
          <w:rFonts w:hint="eastAsia" w:cs="Arial" w:asciiTheme="minorEastAsia" w:hAnsiTheme="minorEastAsia"/>
          <w:b/>
          <w:kern w:val="0"/>
          <w:sz w:val="44"/>
          <w:szCs w:val="44"/>
          <w:lang w:eastAsia="zh-CN"/>
        </w:rPr>
        <w:t>安徽广银铝业有限公</w:t>
      </w:r>
      <w:r>
        <w:rPr>
          <w:rFonts w:hint="eastAsia" w:cs="Arial" w:asciiTheme="minorEastAsia" w:hAnsiTheme="minorEastAsia"/>
          <w:b/>
          <w:kern w:val="0"/>
          <w:sz w:val="44"/>
          <w:szCs w:val="44"/>
          <w:lang w:val="en-US" w:eastAsia="zh-CN"/>
        </w:rPr>
        <w:t>司</w:t>
      </w:r>
      <w:r>
        <w:rPr>
          <w:rFonts w:hint="eastAsia" w:cs="Arial" w:asciiTheme="minorEastAsia" w:hAnsiTheme="minorEastAsia"/>
          <w:b/>
          <w:kern w:val="0"/>
          <w:sz w:val="44"/>
          <w:szCs w:val="44"/>
        </w:rPr>
        <w:t>20</w:t>
      </w:r>
      <w:r>
        <w:rPr>
          <w:rFonts w:hint="eastAsia" w:cs="Arial" w:asciiTheme="minorEastAsia" w:hAnsiTheme="minorEastAsia"/>
          <w:b/>
          <w:kern w:val="0"/>
          <w:sz w:val="44"/>
          <w:szCs w:val="44"/>
          <w:lang w:val="en-US" w:eastAsia="zh-CN"/>
        </w:rPr>
        <w:t>21</w:t>
      </w:r>
      <w:r>
        <w:rPr>
          <w:rFonts w:hint="eastAsia" w:cs="Arial" w:asciiTheme="minorEastAsia" w:hAnsiTheme="minorEastAsia"/>
          <w:b/>
          <w:kern w:val="0"/>
          <w:sz w:val="44"/>
          <w:szCs w:val="44"/>
        </w:rPr>
        <w:t>年度环境</w:t>
      </w:r>
      <w:r>
        <w:rPr>
          <w:rFonts w:hint="eastAsia" w:cs="Arial" w:asciiTheme="minorEastAsia" w:hAnsiTheme="minorEastAsia"/>
          <w:b/>
          <w:kern w:val="0"/>
          <w:sz w:val="44"/>
          <w:szCs w:val="44"/>
          <w:lang w:val="en-US" w:eastAsia="zh-CN"/>
        </w:rPr>
        <w:t>信息依法披露</w:t>
      </w:r>
      <w:r>
        <w:rPr>
          <w:rFonts w:hint="eastAsia" w:cs="Arial" w:asciiTheme="minorEastAsia" w:hAnsiTheme="minorEastAsia"/>
          <w:b/>
          <w:kern w:val="0"/>
          <w:sz w:val="44"/>
          <w:szCs w:val="44"/>
        </w:rPr>
        <w:t>报告</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一</w:t>
      </w:r>
      <w:r>
        <w:rPr>
          <w:rFonts w:hint="eastAsia" w:ascii="黑体" w:hAnsi="黑体" w:eastAsia="黑体" w:cs="黑体"/>
          <w:b w:val="0"/>
          <w:bCs/>
          <w:kern w:val="0"/>
          <w:sz w:val="32"/>
          <w:szCs w:val="32"/>
        </w:rPr>
        <w:t>、公司基本信息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b/>
          <w:bCs/>
          <w:color w:val="auto"/>
          <w:sz w:val="32"/>
          <w:szCs w:val="32"/>
          <w:lang w:val="en-US" w:eastAsia="zh-CN"/>
        </w:rPr>
        <w:t>安徽广银铝业有限公司</w:t>
      </w:r>
      <w:r>
        <w:rPr>
          <w:rFonts w:hint="default" w:ascii="Times New Roman" w:hAnsi="Times New Roman" w:eastAsia="仿宋_GB2312" w:cs="Times New Roman"/>
          <w:color w:val="auto"/>
          <w:sz w:val="32"/>
          <w:szCs w:val="32"/>
          <w:lang w:val="en-US" w:eastAsia="zh-CN"/>
        </w:rPr>
        <w:t>成立于2011年11月，坐落于合肥市长丰县下塘镇工业园区，</w:t>
      </w:r>
      <w:bookmarkStart w:id="0" w:name="_GoBack"/>
      <w:bookmarkEnd w:id="0"/>
      <w:r>
        <w:rPr>
          <w:rFonts w:hint="default" w:ascii="Times New Roman" w:hAnsi="Times New Roman" w:eastAsia="仿宋_GB2312" w:cs="Times New Roman"/>
          <w:color w:val="auto"/>
          <w:sz w:val="32"/>
          <w:szCs w:val="32"/>
          <w:lang w:val="en-US" w:eastAsia="zh-CN"/>
        </w:rPr>
        <w:t>注册资本4.4亿元。总投资45亿元人民币。共有职工420人，其中，领导班子成员4人、中层管理人员23人，销售人员21人、生产技术人员 17人，一线人员281人。（现有职工中，研究生学历人员4人  ，本科 43人，专科生 46人）。由广西投资集团旗下的二级管控平台——广西投资集团银海铝业有限公司投资建设。公司产品以铝挤压型材为主，函盖建筑铝型材、工业型材（白色家电产业铝型材、光伏电子产业铝型材、车辆用铝及零部件型材、铝合金电缆）等领域产品。</w:t>
      </w:r>
      <w:r>
        <w:rPr>
          <w:rFonts w:hint="default" w:ascii="Times New Roman" w:hAnsi="Times New Roman" w:eastAsia="仿宋_GB2312" w:cs="Times New Roman"/>
          <w:kern w:val="0"/>
          <w:sz w:val="32"/>
          <w:szCs w:val="32"/>
          <w:lang w:val="en-US" w:eastAsia="zh-CN" w:bidi="ar"/>
        </w:rPr>
        <w:t>作为广西广投银海铝业集团全铝产业链的一环，安徽广银秉承“服务中国铝加工业”的宗旨，规划建设创新铝加工生产车间29个（铝型材加工挤压车间25个、表面处理车间4个），配套污水处理站、办公楼、职工宿舍等，投资建设为年产45万吨铝加工及其配套项目工业园。（其中，铝型材挤压产能15万吨/年、表面氧化喷涂产能45万吨/年）。企业规划经营范围涵盖铝产业的投资，铝产品研发、生产和销售，铝制品研发、生产、销售；铝加工模具的生产和销售；铝熔炼、挤压设备的设计、制造和销售；厂房、设备及配套基础租赁；污水处理厂经营管理服务；进出口贸易业务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已建成约19.76万㎡面积标准化厂房（1#表面处理车间10.8万㎡，9#挤压车间4.96万㎡，5#车间4万㎡），23条挤压生产线、1条立式喷涂生产线、1条立式氧化生产线、1座污水处理站（占地面积5,600㎡）、8条包装生产线，精、深加工生产线各1条。目前已具备铝加工理论产能10万吨/年，表面处理能力7万吨/年，污水处理能力7,000立方米/天。目前已具备铝加工理论产能约为10万吨/年，表面处理能力约为7万吨/年，污水处理能力约为7,000立方米/天。（实际生产吞吐量需综合考虑现有设备、市场、技术等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二、环境管理情况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bCs/>
          <w:color w:val="auto"/>
          <w:sz w:val="32"/>
          <w:szCs w:val="32"/>
          <w:lang w:val="en-US" w:eastAsia="zh-CN"/>
        </w:rPr>
      </w:pPr>
      <w:r>
        <w:rPr>
          <w:rFonts w:hint="eastAsia" w:ascii="楷体" w:hAnsi="楷体" w:eastAsia="楷体" w:cs="楷体"/>
          <w:color w:val="auto"/>
          <w:sz w:val="32"/>
          <w:szCs w:val="32"/>
          <w:lang w:val="en-US" w:eastAsia="zh-CN"/>
        </w:rPr>
        <w:t>（一）环境管理机构及措施 </w:t>
      </w:r>
      <w:r>
        <w:rPr>
          <w:rFonts w:hint="eastAsia" w:ascii="Times New Roman" w:hAnsi="Times New Roman" w:eastAsia="仿宋_GB2312" w:cs="Times New Roman"/>
          <w:color w:val="auto"/>
          <w:sz w:val="32"/>
          <w:szCs w:val="32"/>
          <w:lang w:val="en-US" w:eastAsia="zh-CN"/>
        </w:rPr>
        <w:br w:type="textWrapping"/>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b/>
          <w:bCs/>
          <w:color w:val="auto"/>
          <w:sz w:val="32"/>
          <w:szCs w:val="32"/>
          <w:lang w:val="en-US" w:eastAsia="zh-CN"/>
        </w:rPr>
        <w:t xml:space="preserve"> 1.公司环境管理组织机构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公司成立了安全生产、职业健康和环境保护委员会，该委员会主任由总经理担任，实行“一岗双责”， 落实环保目标管理责任制，切实做到了“领导到位、责任到位、措施到位、投入 到位”。建立健全了公司各部门的环境保护管理体系。 公司设置安全环保部作为环保主管部门，负责监督考核各部门的环保管理。各部门和各部门主要负责人制定了安全环保职责，细化和明确了各自职责范围。</w:t>
      </w:r>
    </w:p>
    <w:p>
      <w:pPr>
        <w:pStyle w:val="2"/>
        <w:rPr>
          <w:rFonts w:hint="eastAsia" w:ascii="Times New Roman" w:hAnsi="Times New Roman" w:eastAsia="仿宋_GB2312" w:cs="Times New Roman"/>
          <w:color w:val="auto"/>
          <w:sz w:val="32"/>
          <w:szCs w:val="32"/>
          <w:lang w:val="en-US" w:eastAsia="zh-CN"/>
        </w:rPr>
      </w:pPr>
    </w:p>
    <w:p>
      <w:pPr>
        <w:pStyle w:val="2"/>
        <w:rPr>
          <w:rFonts w:hint="eastAsia" w:ascii="Times New Roman" w:hAnsi="Times New Roman" w:eastAsia="仿宋_GB2312" w:cs="Times New Roman"/>
          <w:color w:val="auto"/>
          <w:sz w:val="32"/>
          <w:szCs w:val="32"/>
          <w:lang w:val="en-US" w:eastAsia="zh-CN"/>
        </w:rPr>
      </w:pPr>
    </w:p>
    <w:p>
      <w:pPr>
        <w:pStyle w:val="2"/>
        <w:rPr>
          <w:rFonts w:hint="eastAsia" w:ascii="Times New Roman" w:hAnsi="Times New Roman" w:eastAsia="仿宋_GB2312" w:cs="Times New Roman"/>
          <w:color w:val="auto"/>
          <w:sz w:val="32"/>
          <w:szCs w:val="32"/>
          <w:lang w:val="en-US" w:eastAsia="zh-CN"/>
        </w:rPr>
      </w:pPr>
    </w:p>
    <w:p>
      <w:pPr>
        <w:pStyle w:val="14"/>
        <w:ind w:left="80" w:leftChars="38" w:firstLine="281" w:firstLineChars="100"/>
        <w:rPr>
          <w:rFonts w:asciiTheme="minorEastAsia" w:hAnsiTheme="minorEastAsia"/>
          <w:b/>
          <w:sz w:val="28"/>
          <w:szCs w:val="28"/>
        </w:rPr>
      </w:pPr>
    </w:p>
    <w:p>
      <w:pPr>
        <w:spacing w:line="440" w:lineRule="exact"/>
        <w:jc w:val="center"/>
        <w:rPr>
          <w:rFonts w:ascii="Times New Roman" w:hAnsi="Times New Roman"/>
          <w:b/>
          <w:bCs/>
          <w:sz w:val="48"/>
          <w:szCs w:val="48"/>
        </w:rPr>
      </w:pPr>
      <w:r>
        <w:rPr>
          <w:rFonts w:ascii="Times New Roman" w:hAnsi="Times New Roman" w:eastAsia="仿宋_GB2312"/>
          <w:b/>
          <w:bCs/>
          <w:sz w:val="48"/>
          <w:szCs w:val="48"/>
        </w:rPr>
        <mc:AlternateContent>
          <mc:Choice Requires="wps">
            <w:drawing>
              <wp:anchor distT="0" distB="0" distL="114300" distR="114300" simplePos="0" relativeHeight="251659264" behindDoc="0" locked="0" layoutInCell="1" allowOverlap="1">
                <wp:simplePos x="0" y="0"/>
                <wp:positionH relativeFrom="column">
                  <wp:posOffset>922655</wp:posOffset>
                </wp:positionH>
                <wp:positionV relativeFrom="paragraph">
                  <wp:posOffset>5080</wp:posOffset>
                </wp:positionV>
                <wp:extent cx="4013200" cy="1009650"/>
                <wp:effectExtent l="19050" t="19050" r="44450" b="57150"/>
                <wp:wrapNone/>
                <wp:docPr id="1" name="矩形 38"/>
                <wp:cNvGraphicFramePr/>
                <a:graphic xmlns:a="http://schemas.openxmlformats.org/drawingml/2006/main">
                  <a:graphicData uri="http://schemas.microsoft.com/office/word/2010/wordprocessingShape">
                    <wps:wsp>
                      <wps:cNvSpPr/>
                      <wps:spPr>
                        <a:xfrm>
                          <a:off x="0" y="0"/>
                          <a:ext cx="4013200" cy="1009650"/>
                        </a:xfrm>
                        <a:prstGeom prst="rect">
                          <a:avLst/>
                        </a:prstGeom>
                        <a:solidFill>
                          <a:srgbClr val="DBE5F1"/>
                        </a:solidFill>
                        <a:ln w="38100" cap="flat" cmpd="sng">
                          <a:solidFill>
                            <a:srgbClr val="F2F2F2"/>
                          </a:solidFill>
                          <a:prstDash val="solid"/>
                          <a:miter/>
                          <a:headEnd type="none" w="med" len="med"/>
                          <a:tailEnd type="none" w="med" len="med"/>
                        </a:ln>
                        <a:effectLst>
                          <a:outerShdw dist="28398" dir="3806096" algn="ctr" rotWithShape="0">
                            <a:srgbClr val="243F60">
                              <a:alpha val="50000"/>
                            </a:srgbClr>
                          </a:outerShdw>
                        </a:effectLst>
                      </wps:spPr>
                      <wps:txbx>
                        <w:txbxContent>
                          <w:p>
                            <w:pPr>
                              <w:spacing w:line="300" w:lineRule="exact"/>
                              <w:jc w:val="lef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安全生产、职业健康和环境保护委员会</w:t>
                            </w:r>
                          </w:p>
                          <w:p>
                            <w:pPr>
                              <w:spacing w:line="300" w:lineRule="exact"/>
                              <w:jc w:val="left"/>
                              <w:rPr>
                                <w:rFonts w:ascii="黑体" w:hAnsi="黑体" w:eastAsia="黑体"/>
                                <w:b/>
                                <w:sz w:val="24"/>
                                <w:szCs w:val="24"/>
                              </w:rPr>
                            </w:pPr>
                            <w:r>
                              <w:rPr>
                                <w:rFonts w:hint="eastAsia" w:ascii="黑体" w:hAnsi="黑体" w:eastAsia="黑体"/>
                                <w:b/>
                                <w:bCs/>
                                <w:sz w:val="24"/>
                                <w:szCs w:val="24"/>
                              </w:rPr>
                              <w:t>组</w:t>
                            </w:r>
                            <w:r>
                              <w:rPr>
                                <w:rFonts w:ascii="黑体" w:hAnsi="黑体" w:eastAsia="黑体"/>
                                <w:b/>
                                <w:bCs/>
                                <w:sz w:val="24"/>
                                <w:szCs w:val="24"/>
                              </w:rPr>
                              <w:t xml:space="preserve">  </w:t>
                            </w:r>
                            <w:r>
                              <w:rPr>
                                <w:rFonts w:hint="eastAsia" w:ascii="黑体" w:hAnsi="黑体" w:eastAsia="黑体"/>
                                <w:b/>
                                <w:bCs/>
                                <w:sz w:val="24"/>
                                <w:szCs w:val="24"/>
                              </w:rPr>
                              <w:t>长：</w:t>
                            </w:r>
                            <w:r>
                              <w:rPr>
                                <w:rFonts w:hint="eastAsia" w:ascii="黑体" w:hAnsi="黑体" w:eastAsia="黑体"/>
                                <w:b/>
                                <w:bCs/>
                                <w:sz w:val="24"/>
                                <w:szCs w:val="24"/>
                                <w:lang w:eastAsia="zh-CN"/>
                              </w:rPr>
                              <w:t>总</w:t>
                            </w:r>
                            <w:r>
                              <w:rPr>
                                <w:rFonts w:hint="eastAsia" w:ascii="黑体" w:hAnsi="黑体" w:eastAsia="黑体"/>
                                <w:b/>
                                <w:bCs/>
                                <w:sz w:val="24"/>
                                <w:szCs w:val="24"/>
                              </w:rPr>
                              <w:t>经理</w:t>
                            </w:r>
                          </w:p>
                          <w:p>
                            <w:pPr>
                              <w:spacing w:line="300" w:lineRule="exact"/>
                              <w:jc w:val="left"/>
                              <w:rPr>
                                <w:rFonts w:ascii="黑体" w:hAnsi="黑体" w:eastAsia="黑体"/>
                                <w:b/>
                                <w:bCs/>
                                <w:sz w:val="24"/>
                                <w:szCs w:val="24"/>
                              </w:rPr>
                            </w:pPr>
                            <w:r>
                              <w:rPr>
                                <w:rFonts w:hint="eastAsia" w:ascii="黑体" w:hAnsi="黑体" w:eastAsia="黑体"/>
                                <w:b/>
                                <w:bCs/>
                                <w:sz w:val="24"/>
                                <w:szCs w:val="24"/>
                              </w:rPr>
                              <w:t>副组长：副</w:t>
                            </w:r>
                            <w:r>
                              <w:rPr>
                                <w:rFonts w:hint="eastAsia" w:ascii="黑体" w:hAnsi="黑体" w:eastAsia="黑体"/>
                                <w:b/>
                                <w:bCs/>
                                <w:sz w:val="24"/>
                                <w:szCs w:val="24"/>
                                <w:lang w:eastAsia="zh-CN"/>
                              </w:rPr>
                              <w:t>总</w:t>
                            </w:r>
                            <w:r>
                              <w:rPr>
                                <w:rFonts w:hint="eastAsia" w:ascii="黑体" w:hAnsi="黑体" w:eastAsia="黑体"/>
                                <w:b/>
                                <w:bCs/>
                                <w:sz w:val="24"/>
                                <w:szCs w:val="24"/>
                              </w:rPr>
                              <w:t>经理</w:t>
                            </w:r>
                          </w:p>
                          <w:p>
                            <w:pPr>
                              <w:spacing w:line="300" w:lineRule="exact"/>
                              <w:jc w:val="left"/>
                              <w:rPr>
                                <w:rFonts w:ascii="黑体" w:hAnsi="黑体" w:eastAsia="黑体"/>
                                <w:b/>
                                <w:sz w:val="24"/>
                                <w:szCs w:val="24"/>
                              </w:rPr>
                            </w:pPr>
                            <w:r>
                              <w:rPr>
                                <w:rFonts w:hint="eastAsia" w:ascii="黑体" w:hAnsi="黑体" w:eastAsia="黑体"/>
                                <w:b/>
                                <w:bCs/>
                                <w:sz w:val="24"/>
                                <w:szCs w:val="24"/>
                              </w:rPr>
                              <w:t>成</w:t>
                            </w:r>
                            <w:r>
                              <w:rPr>
                                <w:rFonts w:ascii="黑体" w:hAnsi="黑体" w:eastAsia="黑体"/>
                                <w:b/>
                                <w:bCs/>
                                <w:sz w:val="24"/>
                                <w:szCs w:val="24"/>
                              </w:rPr>
                              <w:t xml:space="preserve">  </w:t>
                            </w:r>
                            <w:r>
                              <w:rPr>
                                <w:rFonts w:hint="eastAsia" w:ascii="黑体" w:hAnsi="黑体" w:eastAsia="黑体"/>
                                <w:b/>
                                <w:bCs/>
                                <w:sz w:val="24"/>
                                <w:szCs w:val="24"/>
                              </w:rPr>
                              <w:t>员：</w:t>
                            </w:r>
                            <w:r>
                              <w:rPr>
                                <w:rFonts w:hint="eastAsia" w:ascii="黑体" w:hAnsi="黑体" w:eastAsia="黑体"/>
                                <w:b/>
                                <w:bCs/>
                                <w:sz w:val="24"/>
                                <w:szCs w:val="24"/>
                                <w:lang w:eastAsia="zh-CN"/>
                              </w:rPr>
                              <w:t>各</w:t>
                            </w:r>
                            <w:r>
                              <w:rPr>
                                <w:rFonts w:hint="eastAsia" w:ascii="黑体" w:hAnsi="黑体" w:eastAsia="黑体" w:cs="宋体"/>
                                <w:b/>
                                <w:sz w:val="24"/>
                                <w:szCs w:val="24"/>
                              </w:rPr>
                              <w:t>部门</w:t>
                            </w:r>
                            <w:r>
                              <w:rPr>
                                <w:rFonts w:hint="eastAsia" w:ascii="黑体" w:hAnsi="黑体" w:eastAsia="黑体" w:cs="宋体"/>
                                <w:b/>
                                <w:sz w:val="24"/>
                                <w:szCs w:val="24"/>
                                <w:lang w:val="en-US" w:eastAsia="zh-CN"/>
                              </w:rPr>
                              <w:t>/车间</w:t>
                            </w:r>
                            <w:r>
                              <w:rPr>
                                <w:rFonts w:hint="eastAsia" w:ascii="黑体" w:hAnsi="黑体" w:eastAsia="黑体" w:cs="宋体"/>
                                <w:b/>
                                <w:sz w:val="24"/>
                                <w:szCs w:val="24"/>
                              </w:rPr>
                              <w:t>负责人</w:t>
                            </w:r>
                          </w:p>
                          <w:p>
                            <w:pPr>
                              <w:spacing w:line="300" w:lineRule="exact"/>
                              <w:rPr>
                                <w:sz w:val="24"/>
                                <w:szCs w:val="24"/>
                              </w:rPr>
                            </w:pPr>
                          </w:p>
                        </w:txbxContent>
                      </wps:txbx>
                      <wps:bodyPr upright="1"/>
                    </wps:wsp>
                  </a:graphicData>
                </a:graphic>
              </wp:anchor>
            </w:drawing>
          </mc:Choice>
          <mc:Fallback>
            <w:pict>
              <v:rect id="矩形 38" o:spid="_x0000_s1026" o:spt="1" style="position:absolute;left:0pt;margin-left:72.65pt;margin-top:0.4pt;height:79.5pt;width:316pt;z-index:251659264;mso-width-relative:page;mso-height-relative:page;" fillcolor="#DBE5F1" filled="t" stroked="t" coordsize="21600,21600" o:gfxdata="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p+VU31gAA&#10;AAgBAAAPAAAAAAAAAAEAIAAAACIAAABkcnMvZG93bnJldi54bWxQSwECFAAUAAAACACHTuJAZfw6&#10;cFkCAADTBAAADgAAAAAAAAABACAAAAAlAQAAZHJzL2Uyb0RvYy54bWxQSwUGAAAAAAYABgBZAQAA&#10;8AUAAAAA&#10;">
                <v:fill on="t" focussize="0,0"/>
                <v:stroke weight="3pt" color="#F2F2F2" joinstyle="miter"/>
                <v:imagedata o:title=""/>
                <o:lock v:ext="edit" aspectratio="f"/>
                <v:shadow on="t" color="#243F60" opacity="32768f" offset="1pt,2pt" origin="0f,0f" matrix="65536f,0f,0f,65536f"/>
                <v:textbox>
                  <w:txbxContent>
                    <w:p>
                      <w:pPr>
                        <w:spacing w:line="300" w:lineRule="exact"/>
                        <w:jc w:val="lef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安全生产、职业健康和环境保护委员会</w:t>
                      </w:r>
                    </w:p>
                    <w:p>
                      <w:pPr>
                        <w:spacing w:line="300" w:lineRule="exact"/>
                        <w:jc w:val="left"/>
                        <w:rPr>
                          <w:rFonts w:ascii="黑体" w:hAnsi="黑体" w:eastAsia="黑体"/>
                          <w:b/>
                          <w:sz w:val="24"/>
                          <w:szCs w:val="24"/>
                        </w:rPr>
                      </w:pPr>
                      <w:r>
                        <w:rPr>
                          <w:rFonts w:hint="eastAsia" w:ascii="黑体" w:hAnsi="黑体" w:eastAsia="黑体"/>
                          <w:b/>
                          <w:bCs/>
                          <w:sz w:val="24"/>
                          <w:szCs w:val="24"/>
                        </w:rPr>
                        <w:t>组</w:t>
                      </w:r>
                      <w:r>
                        <w:rPr>
                          <w:rFonts w:ascii="黑体" w:hAnsi="黑体" w:eastAsia="黑体"/>
                          <w:b/>
                          <w:bCs/>
                          <w:sz w:val="24"/>
                          <w:szCs w:val="24"/>
                        </w:rPr>
                        <w:t xml:space="preserve">  </w:t>
                      </w:r>
                      <w:r>
                        <w:rPr>
                          <w:rFonts w:hint="eastAsia" w:ascii="黑体" w:hAnsi="黑体" w:eastAsia="黑体"/>
                          <w:b/>
                          <w:bCs/>
                          <w:sz w:val="24"/>
                          <w:szCs w:val="24"/>
                        </w:rPr>
                        <w:t>长：</w:t>
                      </w:r>
                      <w:r>
                        <w:rPr>
                          <w:rFonts w:hint="eastAsia" w:ascii="黑体" w:hAnsi="黑体" w:eastAsia="黑体"/>
                          <w:b/>
                          <w:bCs/>
                          <w:sz w:val="24"/>
                          <w:szCs w:val="24"/>
                          <w:lang w:eastAsia="zh-CN"/>
                        </w:rPr>
                        <w:t>总</w:t>
                      </w:r>
                      <w:r>
                        <w:rPr>
                          <w:rFonts w:hint="eastAsia" w:ascii="黑体" w:hAnsi="黑体" w:eastAsia="黑体"/>
                          <w:b/>
                          <w:bCs/>
                          <w:sz w:val="24"/>
                          <w:szCs w:val="24"/>
                        </w:rPr>
                        <w:t>经理</w:t>
                      </w:r>
                    </w:p>
                    <w:p>
                      <w:pPr>
                        <w:spacing w:line="300" w:lineRule="exact"/>
                        <w:jc w:val="left"/>
                        <w:rPr>
                          <w:rFonts w:ascii="黑体" w:hAnsi="黑体" w:eastAsia="黑体"/>
                          <w:b/>
                          <w:bCs/>
                          <w:sz w:val="24"/>
                          <w:szCs w:val="24"/>
                        </w:rPr>
                      </w:pPr>
                      <w:r>
                        <w:rPr>
                          <w:rFonts w:hint="eastAsia" w:ascii="黑体" w:hAnsi="黑体" w:eastAsia="黑体"/>
                          <w:b/>
                          <w:bCs/>
                          <w:sz w:val="24"/>
                          <w:szCs w:val="24"/>
                        </w:rPr>
                        <w:t>副组长：副</w:t>
                      </w:r>
                      <w:r>
                        <w:rPr>
                          <w:rFonts w:hint="eastAsia" w:ascii="黑体" w:hAnsi="黑体" w:eastAsia="黑体"/>
                          <w:b/>
                          <w:bCs/>
                          <w:sz w:val="24"/>
                          <w:szCs w:val="24"/>
                          <w:lang w:eastAsia="zh-CN"/>
                        </w:rPr>
                        <w:t>总</w:t>
                      </w:r>
                      <w:r>
                        <w:rPr>
                          <w:rFonts w:hint="eastAsia" w:ascii="黑体" w:hAnsi="黑体" w:eastAsia="黑体"/>
                          <w:b/>
                          <w:bCs/>
                          <w:sz w:val="24"/>
                          <w:szCs w:val="24"/>
                        </w:rPr>
                        <w:t>经理</w:t>
                      </w:r>
                    </w:p>
                    <w:p>
                      <w:pPr>
                        <w:spacing w:line="300" w:lineRule="exact"/>
                        <w:jc w:val="left"/>
                        <w:rPr>
                          <w:rFonts w:ascii="黑体" w:hAnsi="黑体" w:eastAsia="黑体"/>
                          <w:b/>
                          <w:sz w:val="24"/>
                          <w:szCs w:val="24"/>
                        </w:rPr>
                      </w:pPr>
                      <w:r>
                        <w:rPr>
                          <w:rFonts w:hint="eastAsia" w:ascii="黑体" w:hAnsi="黑体" w:eastAsia="黑体"/>
                          <w:b/>
                          <w:bCs/>
                          <w:sz w:val="24"/>
                          <w:szCs w:val="24"/>
                        </w:rPr>
                        <w:t>成</w:t>
                      </w:r>
                      <w:r>
                        <w:rPr>
                          <w:rFonts w:ascii="黑体" w:hAnsi="黑体" w:eastAsia="黑体"/>
                          <w:b/>
                          <w:bCs/>
                          <w:sz w:val="24"/>
                          <w:szCs w:val="24"/>
                        </w:rPr>
                        <w:t xml:space="preserve">  </w:t>
                      </w:r>
                      <w:r>
                        <w:rPr>
                          <w:rFonts w:hint="eastAsia" w:ascii="黑体" w:hAnsi="黑体" w:eastAsia="黑体"/>
                          <w:b/>
                          <w:bCs/>
                          <w:sz w:val="24"/>
                          <w:szCs w:val="24"/>
                        </w:rPr>
                        <w:t>员：</w:t>
                      </w:r>
                      <w:r>
                        <w:rPr>
                          <w:rFonts w:hint="eastAsia" w:ascii="黑体" w:hAnsi="黑体" w:eastAsia="黑体"/>
                          <w:b/>
                          <w:bCs/>
                          <w:sz w:val="24"/>
                          <w:szCs w:val="24"/>
                          <w:lang w:eastAsia="zh-CN"/>
                        </w:rPr>
                        <w:t>各</w:t>
                      </w:r>
                      <w:r>
                        <w:rPr>
                          <w:rFonts w:hint="eastAsia" w:ascii="黑体" w:hAnsi="黑体" w:eastAsia="黑体" w:cs="宋体"/>
                          <w:b/>
                          <w:sz w:val="24"/>
                          <w:szCs w:val="24"/>
                        </w:rPr>
                        <w:t>部门</w:t>
                      </w:r>
                      <w:r>
                        <w:rPr>
                          <w:rFonts w:hint="eastAsia" w:ascii="黑体" w:hAnsi="黑体" w:eastAsia="黑体" w:cs="宋体"/>
                          <w:b/>
                          <w:sz w:val="24"/>
                          <w:szCs w:val="24"/>
                          <w:lang w:val="en-US" w:eastAsia="zh-CN"/>
                        </w:rPr>
                        <w:t>/车间</w:t>
                      </w:r>
                      <w:r>
                        <w:rPr>
                          <w:rFonts w:hint="eastAsia" w:ascii="黑体" w:hAnsi="黑体" w:eastAsia="黑体" w:cs="宋体"/>
                          <w:b/>
                          <w:sz w:val="24"/>
                          <w:szCs w:val="24"/>
                        </w:rPr>
                        <w:t>负责人</w:t>
                      </w:r>
                    </w:p>
                    <w:p>
                      <w:pPr>
                        <w:spacing w:line="300" w:lineRule="exact"/>
                        <w:rPr>
                          <w:sz w:val="24"/>
                          <w:szCs w:val="24"/>
                        </w:rPr>
                      </w:pPr>
                    </w:p>
                  </w:txbxContent>
                </v:textbox>
              </v:rect>
            </w:pict>
          </mc:Fallback>
        </mc:AlternateContent>
      </w:r>
    </w:p>
    <w:p>
      <w:pPr>
        <w:jc w:val="center"/>
        <w:rPr>
          <w:rFonts w:ascii="Times New Roman" w:hAnsi="Times New Roman"/>
          <w:b/>
          <w:bCs/>
          <w:szCs w:val="32"/>
        </w:rPr>
      </w:pPr>
      <w:r>
        <w:rPr>
          <w:rFonts w:ascii="Times New Roman" w:hAnsi="Times New Roman"/>
          <w:b/>
          <w:bCs/>
          <w:szCs w:val="32"/>
        </w:rPr>
        <w:tab/>
      </w:r>
    </w:p>
    <w:p>
      <w:pPr>
        <w:tabs>
          <w:tab w:val="left" w:pos="3105"/>
        </w:tabs>
        <w:spacing w:line="440" w:lineRule="exact"/>
        <w:rPr>
          <w:rFonts w:ascii="Times New Roman" w:hAnsi="Times New Roman"/>
          <w:b/>
          <w:bCs/>
          <w:szCs w:val="32"/>
        </w:rPr>
      </w:pPr>
      <w:r>
        <w:rPr>
          <w:rFonts w:ascii="Times New Roman" w:hAnsi="Times New Roman"/>
          <w:b/>
          <w:bCs/>
          <w:szCs w:val="32"/>
        </w:rPr>
        <w:tab/>
      </w:r>
    </w:p>
    <w:p>
      <w:pPr>
        <w:spacing w:line="440" w:lineRule="exact"/>
        <w:rPr>
          <w:rFonts w:ascii="Times New Roman" w:hAnsi="Times New Roman"/>
          <w:b/>
          <w:bCs/>
          <w:szCs w:val="32"/>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519420" cy="3902710"/>
            <wp:effectExtent l="0" t="0" r="5080" b="2540"/>
            <wp:docPr id="4" name="图片 4" descr="安徽广银发〔2022〕22号 关于修订印发《安徽广银公司组织架构及各部门、车间职责》的通知(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徽广银发〔2022〕22号 关于修订印发《安徽广银公司组织架构及各部门、车间职责》的通知(1)_01"/>
                    <pic:cNvPicPr>
                      <a:picLocks noChangeAspect="1"/>
                    </pic:cNvPicPr>
                  </pic:nvPicPr>
                  <pic:blipFill>
                    <a:blip r:embed="rId5"/>
                    <a:stretch>
                      <a:fillRect/>
                    </a:stretch>
                  </pic:blipFill>
                  <pic:spPr>
                    <a:xfrm>
                      <a:off x="0" y="0"/>
                      <a:ext cx="5519420" cy="3902710"/>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lang w:val="en-US" w:eastAsia="zh-CN"/>
        </w:rPr>
        <w:t>2.</w:t>
      </w:r>
      <w:r>
        <w:rPr>
          <w:rFonts w:hint="eastAsia" w:ascii="仿宋_GB2312" w:hAnsi="仿宋_GB2312" w:eastAsia="仿宋_GB2312" w:cs="仿宋_GB2312"/>
          <w:b/>
          <w:sz w:val="32"/>
          <w:szCs w:val="32"/>
          <w:shd w:val="clear" w:color="auto" w:fill="FFFFFF"/>
        </w:rPr>
        <w:t>公司环境管理制度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公司编制了一系列的环境管理文件，主要有《环保设施运行与监测管理制度》、《危险废物污染环境防治责任制》、《固体废弃物管理制度》、《废水排放管理制度》、《废气排放管理制度》、《安全环保管理考核细则》、《安全生产检查与隐患整改管理制度》、《事故报告及调查处理管理制度》、《安全环保和节能减排目标责任考核办法》等28项管理制度，建立完整的安全环保管理体系，使公司环境管理有依据，工作有程序，监督有保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val="0"/>
          <w:kern w:val="0"/>
          <w:sz w:val="32"/>
          <w:szCs w:val="32"/>
          <w:lang w:val="en-US" w:eastAsia="zh-CN" w:bidi="ar-SA"/>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公司环境体系认证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2016年下半年，我公司委托方圆标志认证集团安徽有限公司开展ISO14001 环境管理体系认证工作， 通过开动员会，举办体系培训班、充分利用企业新媒体平台、厂区宣传栏等方式大力宣传环境管理体系的意义和重要性，提高企业员工对环境管理体系的认知，依据《ISO14001 环境管理体系要求及使用指南》，深入开展各项工作。2017年6月5日通过了审核，并取得环境管理体系认证证书。安徽广银铝业有限公司通过建立实施ISO14001环境管理体系，并认真推行和持续完善，公司的环境管理水平不断提高和进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公司环保培训情况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kern w:val="0"/>
          <w:sz w:val="32"/>
          <w:szCs w:val="32"/>
        </w:rPr>
      </w:pPr>
      <w:r>
        <w:rPr>
          <w:rFonts w:hint="eastAsia" w:ascii="Times New Roman" w:hAnsi="Times New Roman" w:eastAsia="仿宋_GB2312" w:cs="Times New Roman"/>
          <w:color w:val="auto"/>
          <w:sz w:val="32"/>
          <w:szCs w:val="32"/>
          <w:lang w:val="en-US" w:eastAsia="zh-CN"/>
        </w:rPr>
        <w:t>公司领导高度重视环保管理工作，规范配置环保相关岗位管理人员。2021年度开展了安全环保知识培训、安全生产知识培训、环保应急演练培训、员工素质培训、危险废物管理培训、生产环保设施技能培训等，并将学习效果纳入岗位考核，保障环保设施的稳定运行，提高相关岗位人员的专业技能和管理水平。</w:t>
      </w:r>
      <w:r>
        <w:rPr>
          <w:rFonts w:hint="eastAsia" w:ascii="Times New Roman" w:hAnsi="Times New Roman" w:eastAsia="仿宋_GB2312" w:cs="Times New Roman"/>
          <w:color w:val="auto"/>
          <w:sz w:val="32"/>
          <w:szCs w:val="32"/>
          <w:lang w:val="en-US" w:eastAsia="zh-CN"/>
        </w:rPr>
        <w:br w:type="textWrapping"/>
      </w:r>
      <w:r>
        <w:rPr>
          <w:rFonts w:hint="eastAsia" w:ascii="Times New Roman" w:hAnsi="Times New Roman" w:eastAsia="仿宋_GB2312" w:cs="Times New Roman"/>
          <w:color w:val="auto"/>
          <w:sz w:val="32"/>
          <w:szCs w:val="32"/>
          <w:lang w:val="en-US" w:eastAsia="zh-CN"/>
        </w:rPr>
        <w:t xml:space="preserve">    </w:t>
      </w: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其他环境管理情况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2021年公司坚持将环保设施纳入主体生产设备进行管理，重视环保设施的维护及监管，不断完善现有的废水、废气、噪声处理设施，并对发现的环境隐患进行及时整治。加强对环保设施运行管理人员的培训及考核，以保证环保设施的稳定、正常运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6.重大环境问题的发生情况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2021年度，公司无任何环境事故和重大问题发生，附近居民无关于环境问题投诉，未受到环保处罚。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三</w:t>
      </w:r>
      <w:r>
        <w:rPr>
          <w:rFonts w:hint="eastAsia" w:ascii="黑体" w:hAnsi="黑体" w:eastAsia="黑体" w:cs="黑体"/>
          <w:b w:val="0"/>
          <w:bCs/>
          <w:kern w:val="0"/>
          <w:sz w:val="32"/>
          <w:szCs w:val="32"/>
        </w:rPr>
        <w:t>、环保守法情况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(一）</w:t>
      </w:r>
      <w:r>
        <w:rPr>
          <w:rFonts w:hint="eastAsia" w:ascii="楷体" w:hAnsi="楷体" w:eastAsia="楷体" w:cs="楷体"/>
          <w:b w:val="0"/>
          <w:bCs/>
          <w:kern w:val="0"/>
          <w:sz w:val="32"/>
          <w:szCs w:val="32"/>
        </w:rPr>
        <w:t>环境影响评价</w:t>
      </w:r>
      <w:r>
        <w:rPr>
          <w:rFonts w:hint="eastAsia" w:ascii="楷体" w:hAnsi="楷体" w:eastAsia="楷体" w:cs="楷体"/>
          <w:b w:val="0"/>
          <w:bCs/>
          <w:kern w:val="0"/>
          <w:sz w:val="32"/>
          <w:szCs w:val="32"/>
          <w:lang w:eastAsia="zh-CN"/>
        </w:rPr>
        <w:t>与三同时制度执行情况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安徽广银铝业有限公司在2012年3月完成《安徽广银铝业有限公司年产45万吨铝加工及其配套建设项目环境影响报告书》，2012年4月取得环建审【2012】72号《关于安徽广银铝业有限公司年产45万吨铝加工及其配套建设项目环境影响报告书》的批复，2015年1月取得合环验【2015】3号《安徽广银铝业有限公司年产45万吨铝加工及其配套建设项目阶段性竣工环保验收意见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kern w:val="0"/>
          <w:sz w:val="32"/>
          <w:szCs w:val="32"/>
        </w:rPr>
      </w:pPr>
      <w:r>
        <w:rPr>
          <w:rFonts w:hint="eastAsia" w:ascii="楷体" w:hAnsi="楷体" w:eastAsia="楷体" w:cs="楷体"/>
          <w:b w:val="0"/>
          <w:bCs/>
          <w:kern w:val="0"/>
          <w:sz w:val="32"/>
          <w:szCs w:val="32"/>
          <w:lang w:eastAsia="zh-CN"/>
        </w:rPr>
        <w:t>（二）</w:t>
      </w:r>
      <w:r>
        <w:rPr>
          <w:rFonts w:hint="eastAsia" w:ascii="楷体" w:hAnsi="楷体" w:eastAsia="楷体" w:cs="楷体"/>
          <w:b w:val="0"/>
          <w:bCs/>
          <w:kern w:val="0"/>
          <w:sz w:val="32"/>
          <w:szCs w:val="32"/>
        </w:rPr>
        <w:t>污染物达标排放情况    </w:t>
      </w:r>
      <w:r>
        <w:rPr>
          <w:rFonts w:hint="eastAsia" w:ascii="仿宋_GB2312" w:hAnsi="仿宋_GB2312" w:eastAsia="仿宋_GB2312" w:cs="仿宋_GB2312"/>
          <w:b w:val="0"/>
          <w:bCs/>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本年度对废气、废水监测情况</w:t>
      </w:r>
    </w:p>
    <w:tbl>
      <w:tblPr>
        <w:tblStyle w:val="9"/>
        <w:tblW w:w="8880" w:type="dxa"/>
        <w:tblInd w:w="-174" w:type="dxa"/>
        <w:shd w:val="clear" w:color="auto" w:fill="auto"/>
        <w:tblLayout w:type="autofit"/>
        <w:tblCellMar>
          <w:top w:w="0" w:type="dxa"/>
          <w:left w:w="0" w:type="dxa"/>
          <w:bottom w:w="0" w:type="dxa"/>
          <w:right w:w="0" w:type="dxa"/>
        </w:tblCellMar>
      </w:tblPr>
      <w:tblGrid>
        <w:gridCol w:w="690"/>
        <w:gridCol w:w="891"/>
        <w:gridCol w:w="1503"/>
        <w:gridCol w:w="952"/>
        <w:gridCol w:w="897"/>
        <w:gridCol w:w="725"/>
        <w:gridCol w:w="670"/>
        <w:gridCol w:w="470"/>
        <w:gridCol w:w="501"/>
        <w:gridCol w:w="609"/>
        <w:gridCol w:w="972"/>
      </w:tblGrid>
      <w:tr>
        <w:tblPrEx>
          <w:shd w:val="clear" w:color="auto" w:fill="auto"/>
          <w:tblCellMar>
            <w:top w:w="0" w:type="dxa"/>
            <w:left w:w="0" w:type="dxa"/>
            <w:bottom w:w="0" w:type="dxa"/>
            <w:right w:w="0" w:type="dxa"/>
          </w:tblCellMar>
        </w:tblPrEx>
        <w:trPr>
          <w:trHeight w:val="3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kern w:val="0"/>
                <w:sz w:val="18"/>
                <w:szCs w:val="18"/>
                <w:u w:val="none"/>
                <w:lang w:val="en-US" w:eastAsia="zh-CN" w:bidi="ar"/>
              </w:rPr>
            </w:pPr>
            <w:r>
              <w:rPr>
                <w:rFonts w:hint="eastAsia" w:ascii="微软雅黑" w:hAnsi="微软雅黑" w:eastAsia="微软雅黑" w:cs="微软雅黑"/>
                <w:b/>
                <w:i w:val="0"/>
                <w:color w:val="FFFFFF"/>
                <w:kern w:val="0"/>
                <w:sz w:val="18"/>
                <w:szCs w:val="18"/>
                <w:u w:val="none"/>
                <w:lang w:val="en-US" w:eastAsia="zh-CN" w:bidi="ar"/>
              </w:rPr>
              <w:t>报价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类别</w:t>
            </w:r>
          </w:p>
        </w:tc>
        <w:tc>
          <w:tcPr>
            <w:tcW w:w="891"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检测位置</w:t>
            </w:r>
          </w:p>
        </w:tc>
        <w:tc>
          <w:tcPr>
            <w:tcW w:w="1503"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检测类别</w:t>
            </w:r>
          </w:p>
        </w:tc>
        <w:tc>
          <w:tcPr>
            <w:tcW w:w="95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检测因子</w:t>
            </w:r>
          </w:p>
        </w:tc>
        <w:tc>
          <w:tcPr>
            <w:tcW w:w="897"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分析方法</w:t>
            </w:r>
          </w:p>
        </w:tc>
        <w:tc>
          <w:tcPr>
            <w:tcW w:w="725"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检测费</w:t>
            </w:r>
          </w:p>
        </w:tc>
        <w:tc>
          <w:tcPr>
            <w:tcW w:w="670"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点位数</w:t>
            </w:r>
          </w:p>
        </w:tc>
        <w:tc>
          <w:tcPr>
            <w:tcW w:w="0" w:type="auto"/>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频次</w:t>
            </w:r>
          </w:p>
        </w:tc>
        <w:tc>
          <w:tcPr>
            <w:tcW w:w="501"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天数</w:t>
            </w:r>
          </w:p>
        </w:tc>
        <w:tc>
          <w:tcPr>
            <w:tcW w:w="609"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kern w:val="0"/>
                <w:sz w:val="18"/>
                <w:szCs w:val="18"/>
                <w:u w:val="none"/>
                <w:lang w:val="en-US" w:eastAsia="zh-CN" w:bidi="ar"/>
              </w:rPr>
            </w:pPr>
            <w:r>
              <w:rPr>
                <w:rFonts w:hint="eastAsia" w:ascii="微软雅黑" w:hAnsi="微软雅黑" w:eastAsia="微软雅黑" w:cs="微软雅黑"/>
                <w:b/>
                <w:i w:val="0"/>
                <w:color w:val="FFFFFF"/>
                <w:kern w:val="0"/>
                <w:sz w:val="18"/>
                <w:szCs w:val="18"/>
                <w:u w:val="none"/>
                <w:lang w:val="en-US" w:eastAsia="zh-CN" w:bidi="ar"/>
              </w:rPr>
              <w:t>样品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总数</w:t>
            </w:r>
          </w:p>
        </w:tc>
        <w:tc>
          <w:tcPr>
            <w:tcW w:w="972" w:type="dxa"/>
            <w:tcBorders>
              <w:top w:val="single" w:color="000000" w:sz="4" w:space="0"/>
              <w:left w:val="single" w:color="000000" w:sz="4" w:space="0"/>
              <w:bottom w:val="single" w:color="000000" w:sz="4" w:space="0"/>
              <w:right w:val="single" w:color="000000" w:sz="4" w:space="0"/>
            </w:tcBorders>
            <w:shd w:val="clear" w:color="auto" w:fill="80808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b/>
                <w:i w:val="0"/>
                <w:color w:val="FFFFFF"/>
                <w:sz w:val="18"/>
                <w:szCs w:val="18"/>
                <w:u w:val="none"/>
              </w:rPr>
            </w:pPr>
            <w:r>
              <w:rPr>
                <w:rFonts w:hint="eastAsia" w:ascii="微软雅黑" w:hAnsi="微软雅黑" w:eastAsia="微软雅黑" w:cs="微软雅黑"/>
                <w:b/>
                <w:i w:val="0"/>
                <w:color w:val="FFFFFF"/>
                <w:kern w:val="0"/>
                <w:sz w:val="18"/>
                <w:szCs w:val="18"/>
                <w:u w:val="none"/>
                <w:lang w:val="en-US" w:eastAsia="zh-CN" w:bidi="ar"/>
              </w:rPr>
              <w:t>价格</w:t>
            </w:r>
          </w:p>
        </w:tc>
      </w:tr>
      <w:tr>
        <w:tblPrEx>
          <w:shd w:val="clear" w:color="auto" w:fill="auto"/>
          <w:tblCellMar>
            <w:top w:w="0" w:type="dxa"/>
            <w:left w:w="0" w:type="dxa"/>
            <w:bottom w:w="0" w:type="dxa"/>
            <w:right w:w="0" w:type="dxa"/>
          </w:tblCellMar>
        </w:tblPrEx>
        <w:trPr>
          <w:trHeight w:val="38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（一）</w:t>
            </w:r>
            <w:r>
              <w:rPr>
                <w:rFonts w:hint="eastAsia" w:ascii="宋体" w:hAnsi="宋体" w:eastAsia="宋体" w:cs="宋体"/>
                <w:i w:val="0"/>
                <w:color w:val="000000"/>
                <w:kern w:val="0"/>
                <w:sz w:val="18"/>
                <w:szCs w:val="18"/>
                <w:u w:val="none"/>
                <w:lang w:val="en-US" w:eastAsia="zh-CN" w:bidi="ar"/>
              </w:rPr>
              <w:t>检测</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DA001</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1#喷砂排气筒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DA002</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2#喷砂排气筒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DA003</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3#喷砂排气筒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DA004</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4#喷砂排气筒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DA005</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5#喷砂排气筒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DA006</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酸雾吸收喷淋塔排气筒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氮氧化物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硫酸雾</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比色法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DA007</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碱吸收喷淋塔排气筒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氮氧化物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硫酸雾</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比色法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DA008</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2#酸雾吸收喷淋塔排气筒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氮氧化物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硫酸雾</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比色法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DA009</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烘干炉固化工序排气筒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氮氧化物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二氧化硫</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挥发性有机物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气相色谱-质谱法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500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DA0010</w:t>
            </w:r>
          </w:p>
        </w:tc>
        <w:tc>
          <w:tcPr>
            <w:tcW w:w="150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天然气锅炉排气筒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林格曼黑度</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200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氮氧化物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二氧化硫</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DA011</w:t>
            </w:r>
          </w:p>
        </w:tc>
        <w:tc>
          <w:tcPr>
            <w:tcW w:w="15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1#喷粉房排气筒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DA012</w:t>
            </w:r>
          </w:p>
        </w:tc>
        <w:tc>
          <w:tcPr>
            <w:tcW w:w="15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2#喷粉房排气筒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DA013</w:t>
            </w:r>
          </w:p>
        </w:tc>
        <w:tc>
          <w:tcPr>
            <w:tcW w:w="150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kern w:val="0"/>
                <w:sz w:val="18"/>
                <w:szCs w:val="18"/>
                <w:u w:val="none"/>
                <w:lang w:val="en-US" w:eastAsia="zh-CN" w:bidi="ar"/>
              </w:rPr>
            </w:pPr>
            <w:r>
              <w:rPr>
                <w:rFonts w:hint="eastAsia" w:ascii="黑体" w:hAnsi="黑体" w:eastAsia="黑体" w:cs="黑体"/>
                <w:b w:val="0"/>
                <w:bCs w:val="0"/>
                <w:i w:val="0"/>
                <w:color w:val="000000"/>
                <w:kern w:val="0"/>
                <w:sz w:val="18"/>
                <w:szCs w:val="18"/>
                <w:u w:val="none"/>
                <w:lang w:val="en-US" w:eastAsia="zh-CN" w:bidi="ar"/>
              </w:rPr>
              <w:t>喷粉工序1#</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烘干炉排气筒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氮氧化物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二氧化硫</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DA014</w:t>
            </w:r>
          </w:p>
        </w:tc>
        <w:tc>
          <w:tcPr>
            <w:tcW w:w="150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kern w:val="0"/>
                <w:sz w:val="18"/>
                <w:szCs w:val="18"/>
                <w:u w:val="none"/>
                <w:lang w:val="en-US" w:eastAsia="zh-CN" w:bidi="ar"/>
              </w:rPr>
            </w:pPr>
            <w:r>
              <w:rPr>
                <w:rFonts w:hint="eastAsia" w:ascii="黑体" w:hAnsi="黑体" w:eastAsia="黑体" w:cs="黑体"/>
                <w:b w:val="0"/>
                <w:bCs w:val="0"/>
                <w:i w:val="0"/>
                <w:color w:val="000000"/>
                <w:kern w:val="0"/>
                <w:sz w:val="18"/>
                <w:szCs w:val="18"/>
                <w:u w:val="none"/>
                <w:lang w:val="en-US" w:eastAsia="zh-CN" w:bidi="ar"/>
              </w:rPr>
              <w:t>喷粉工序2#</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烘干炉排气筒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氮氧化物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二氧化硫</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171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颗粒物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374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DA015</w:t>
            </w:r>
          </w:p>
        </w:tc>
        <w:tc>
          <w:tcPr>
            <w:tcW w:w="15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kern w:val="0"/>
                <w:sz w:val="18"/>
                <w:szCs w:val="18"/>
                <w:u w:val="none"/>
                <w:lang w:val="en-US" w:eastAsia="zh-CN" w:bidi="ar"/>
              </w:rPr>
            </w:pPr>
            <w:r>
              <w:rPr>
                <w:rFonts w:hint="eastAsia" w:ascii="黑体" w:hAnsi="黑体" w:eastAsia="黑体" w:cs="黑体"/>
                <w:b w:val="0"/>
                <w:bCs w:val="0"/>
                <w:i w:val="0"/>
                <w:color w:val="000000"/>
                <w:kern w:val="0"/>
                <w:sz w:val="18"/>
                <w:szCs w:val="18"/>
                <w:u w:val="none"/>
                <w:lang w:val="en-US" w:eastAsia="zh-CN" w:bidi="ar"/>
              </w:rPr>
              <w:t>喷粉固化工序</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排气筒</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挥发性有机物</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气相色谱-质谱法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500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DW001</w:t>
            </w:r>
          </w:p>
        </w:tc>
        <w:tc>
          <w:tcPr>
            <w:tcW w:w="1503"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总排口</w:t>
            </w:r>
          </w:p>
        </w:tc>
        <w:tc>
          <w:tcPr>
            <w:tcW w:w="95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SS</w:t>
            </w:r>
          </w:p>
        </w:tc>
        <w:tc>
          <w:tcPr>
            <w:tcW w:w="89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60</w:t>
            </w:r>
          </w:p>
        </w:tc>
        <w:tc>
          <w:tcPr>
            <w:tcW w:w="6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12</w:t>
            </w:r>
          </w:p>
        </w:tc>
        <w:tc>
          <w:tcPr>
            <w:tcW w:w="60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总氮</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比色法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90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氨氮</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比色法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70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总磷</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比色法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80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石油类</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比色法/红外法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120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总铝</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ICPMS/原吸法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106</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溶解性总固体</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重量法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80</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12</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36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厂界</w:t>
            </w:r>
          </w:p>
        </w:tc>
        <w:tc>
          <w:tcPr>
            <w:tcW w:w="15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无组织废气</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硫酸雾</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比色法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144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4</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厂界</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噪声</w:t>
            </w: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昼间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54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4</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i w:val="0"/>
                <w:color w:val="000000"/>
                <w:sz w:val="18"/>
                <w:szCs w:val="18"/>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夜间</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直读法</w:t>
            </w:r>
          </w:p>
        </w:tc>
        <w:tc>
          <w:tcPr>
            <w:tcW w:w="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81</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w:t>
            </w:r>
          </w:p>
        </w:tc>
        <w:tc>
          <w:tcPr>
            <w:tcW w:w="5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4</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16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color w:val="000000"/>
                <w:sz w:val="18"/>
                <w:szCs w:val="18"/>
                <w:u w:val="none"/>
              </w:rPr>
            </w:pPr>
            <w:r>
              <w:rPr>
                <w:rFonts w:hint="eastAsia" w:ascii="黑体" w:hAnsi="黑体" w:eastAsia="黑体" w:cs="黑体"/>
                <w:b w:val="0"/>
                <w:bCs w:val="0"/>
                <w:i w:val="0"/>
                <w:color w:val="000000"/>
                <w:kern w:val="0"/>
                <w:sz w:val="18"/>
                <w:szCs w:val="18"/>
                <w:u w:val="none"/>
                <w:lang w:val="en-US" w:eastAsia="zh-CN" w:bidi="ar"/>
              </w:rPr>
              <w:t>/</w:t>
            </w:r>
          </w:p>
        </w:tc>
      </w:tr>
    </w:tbl>
    <w:p>
      <w:pPr>
        <w:widowControl/>
        <w:shd w:val="clear" w:color="auto" w:fill="FFFFFF"/>
        <w:spacing w:line="560" w:lineRule="exact"/>
        <w:ind w:firstLine="562" w:firstLineChars="200"/>
        <w:jc w:val="left"/>
        <w:rPr>
          <w:rFonts w:hint="eastAsia" w:ascii="宋体" w:hAnsi="宋体" w:eastAsia="宋体" w:cs="Arial"/>
          <w:b/>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2022年度委托检测计划</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在2022年，公司将继续按照生产排放因子进行环境全指标的监测。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废水处理情况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安徽广银铝业有限公司在生产经营过程中产生的废水主要为型材表面处理废水、喷涂废水，全年处理废水约304969吨。公司内建有污水处理站一座，日处理量为综合废水5000m3/天，含镍废水2000m3/天，处理后的废水进入下塘镇污水处理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3.噪声监测情况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安徽广银铝业有限公司厂区内产生的噪声主要生产设备集中叠加所产生的噪声，通过采取隔声、吸声、隔震等综合措施降低噪声，将噪声排放降低至环保要求界限以下。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4.新产生的危险废物处理情况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安徽广银铝业有限公司在铝型材生产过程中，采用先进的生产工艺， 目前工艺参数稳定、化学试剂种类固定，未产生新的危险废物。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5.一般废物和危险废物处理情况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2021年公司产生的一般工业固体废弃物和危险废物均能按照国家的有关规定进行处置，规范处置率为100%。公司固体废物处置情况如下：</w:t>
      </w:r>
    </w:p>
    <w:p>
      <w:pPr>
        <w:keepNext w:val="0"/>
        <w:keepLines w:val="0"/>
        <w:widowControl/>
        <w:suppressLineNumbers w:val="0"/>
        <w:jc w:val="left"/>
        <w:rPr>
          <w:rFonts w:hint="eastAsia" w:ascii="宋体" w:hAnsi="宋体" w:eastAsia="宋体" w:cs="Arial"/>
          <w:kern w:val="0"/>
          <w:sz w:val="28"/>
          <w:szCs w:val="28"/>
        </w:rPr>
      </w:pPr>
      <w:r>
        <w:drawing>
          <wp:inline distT="0" distB="0" distL="114300" distR="114300">
            <wp:extent cx="5511800" cy="3493770"/>
            <wp:effectExtent l="0" t="0" r="12700" b="1143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5511800" cy="3493770"/>
                    </a:xfrm>
                    <a:prstGeom prst="rect">
                      <a:avLst/>
                    </a:prstGeom>
                    <a:noFill/>
                    <a:ln>
                      <a:noFill/>
                    </a:ln>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四、排污费、环保税缴纳情况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安徽广银铝业有限公司于2019年12月取得排污许可证。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根据《中华人民共和国环境保护税法》要求，核算当季度所需缴纳的环保税，进行网上登记申报，并按时缴纳审批过的税额。2021年四个季度均按照要求按时完成环保税的核算与缴纳，共缴纳费用约22863.73元。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五、环境风险管理体系建立和运行情况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为迅速有效地控制和处置重大突发性环境事故，最大程度地预防和减少环境污染事故造成的人身伤害和财产损失及社会负面影响，安徽广银公司制定了适用于本公司的《安徽广银铝业有限公司突发环境事件应急预案》，建立了应急响应小组，由公司总经理任总指挥；配备了所需的应急设施和装备，明确了应急管理组织机构及其职责、在突发事故下全司各部门的职责及处置、救援方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公司于2021年7月组织开展危险废物流失应急演练；2021年11月组织开展污水超标排放应急演练。在演练过程中，各个应急小组分工明确，有效地履行了自身的职能，圆满完成了演练内容，达到预案演练目的。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六、编制说明</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（一）本环境报告的编制及提供信息的时间范围、发行日期；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本报告由</w:t>
      </w:r>
      <w:r>
        <w:rPr>
          <w:rFonts w:hint="eastAsia" w:ascii="Times New Roman" w:hAnsi="Times New Roman" w:eastAsia="仿宋_GB2312" w:cs="Times New Roman"/>
          <w:color w:val="auto"/>
          <w:sz w:val="32"/>
          <w:szCs w:val="32"/>
          <w:lang w:val="en-US" w:eastAsia="zh-CN"/>
        </w:rPr>
        <w:t>安徽广银铝业有限公司安全环保</w:t>
      </w:r>
      <w:r>
        <w:rPr>
          <w:rFonts w:hint="default" w:ascii="Times New Roman" w:hAnsi="Times New Roman" w:eastAsia="仿宋_GB2312" w:cs="Times New Roman"/>
          <w:color w:val="auto"/>
          <w:sz w:val="32"/>
          <w:szCs w:val="32"/>
          <w:lang w:val="en-US" w:eastAsia="zh-CN"/>
        </w:rPr>
        <w:t>部编制；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本报告书的报告期间为：20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val="en-US" w:eastAsia="zh-CN"/>
        </w:rPr>
        <w:t>年1月1日至20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val="en-US" w:eastAsia="zh-CN"/>
        </w:rPr>
        <w:t>年12月31日；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本次报告发行日期：202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US" w:eastAsia="zh-CN"/>
        </w:rPr>
        <w:t>本环境报告书的编制流程及审核运转流程</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本报告根据《环境信息公开办法(试行)》编制，编制流程及审核运转流程</w:t>
      </w:r>
      <w:r>
        <w:rPr>
          <w:rFonts w:hint="eastAsia" w:ascii="Times New Roman" w:hAnsi="Times New Roman" w:eastAsia="仿宋_GB2312" w:cs="Times New Roman"/>
          <w:color w:val="auto"/>
          <w:sz w:val="32"/>
          <w:szCs w:val="32"/>
          <w:lang w:val="en-US" w:eastAsia="zh-CN"/>
        </w:rPr>
        <w:t>按公司相关规定开展。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sz w:val="32"/>
          <w:szCs w:val="32"/>
          <w:lang w:val="en-US" w:eastAsia="zh-CN"/>
        </w:rPr>
      </w:pPr>
    </w:p>
    <w:sectPr>
      <w:footerReference r:id="rId3" w:type="default"/>
      <w:pgSz w:w="11906" w:h="16838"/>
      <w:pgMar w:top="1440" w:right="1416"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76"/>
    <w:rsid w:val="00034BFC"/>
    <w:rsid w:val="00040F9E"/>
    <w:rsid w:val="000677DD"/>
    <w:rsid w:val="000E26B6"/>
    <w:rsid w:val="000F1D39"/>
    <w:rsid w:val="001270CA"/>
    <w:rsid w:val="00143B32"/>
    <w:rsid w:val="00190DA2"/>
    <w:rsid w:val="001929F3"/>
    <w:rsid w:val="001E1F21"/>
    <w:rsid w:val="001E3236"/>
    <w:rsid w:val="00233CE9"/>
    <w:rsid w:val="00237797"/>
    <w:rsid w:val="002D01E4"/>
    <w:rsid w:val="002D435C"/>
    <w:rsid w:val="002E60DE"/>
    <w:rsid w:val="002E6FA6"/>
    <w:rsid w:val="00300D15"/>
    <w:rsid w:val="0031381E"/>
    <w:rsid w:val="00315517"/>
    <w:rsid w:val="00332439"/>
    <w:rsid w:val="003379CD"/>
    <w:rsid w:val="003536A4"/>
    <w:rsid w:val="00371CAC"/>
    <w:rsid w:val="00445176"/>
    <w:rsid w:val="0045630F"/>
    <w:rsid w:val="004758DF"/>
    <w:rsid w:val="004B4018"/>
    <w:rsid w:val="004C4C7D"/>
    <w:rsid w:val="004F1B6E"/>
    <w:rsid w:val="005615FD"/>
    <w:rsid w:val="005B189F"/>
    <w:rsid w:val="005C24CF"/>
    <w:rsid w:val="005D1FB1"/>
    <w:rsid w:val="00673AF3"/>
    <w:rsid w:val="006D464E"/>
    <w:rsid w:val="00767889"/>
    <w:rsid w:val="007C34C6"/>
    <w:rsid w:val="0080197D"/>
    <w:rsid w:val="0084544F"/>
    <w:rsid w:val="0085261A"/>
    <w:rsid w:val="008A5AF5"/>
    <w:rsid w:val="008E15A6"/>
    <w:rsid w:val="00904A53"/>
    <w:rsid w:val="00935A8F"/>
    <w:rsid w:val="0097665A"/>
    <w:rsid w:val="009F6224"/>
    <w:rsid w:val="00A25ED4"/>
    <w:rsid w:val="00A65AEF"/>
    <w:rsid w:val="00A73CF8"/>
    <w:rsid w:val="00A75026"/>
    <w:rsid w:val="00A85FED"/>
    <w:rsid w:val="00A963DF"/>
    <w:rsid w:val="00AD4C04"/>
    <w:rsid w:val="00AF2E40"/>
    <w:rsid w:val="00B52D62"/>
    <w:rsid w:val="00B671B2"/>
    <w:rsid w:val="00B70643"/>
    <w:rsid w:val="00B77F12"/>
    <w:rsid w:val="00B951AE"/>
    <w:rsid w:val="00BA4EE9"/>
    <w:rsid w:val="00BB330A"/>
    <w:rsid w:val="00BF02D8"/>
    <w:rsid w:val="00BF61C7"/>
    <w:rsid w:val="00C1783C"/>
    <w:rsid w:val="00C20904"/>
    <w:rsid w:val="00C20FE6"/>
    <w:rsid w:val="00C264C5"/>
    <w:rsid w:val="00C5782F"/>
    <w:rsid w:val="00CA18A4"/>
    <w:rsid w:val="00CD1CF9"/>
    <w:rsid w:val="00CD3909"/>
    <w:rsid w:val="00CE6D23"/>
    <w:rsid w:val="00D93F27"/>
    <w:rsid w:val="00DA5E01"/>
    <w:rsid w:val="00DD6B22"/>
    <w:rsid w:val="00E215D3"/>
    <w:rsid w:val="00E27FD5"/>
    <w:rsid w:val="00E443AB"/>
    <w:rsid w:val="00E60106"/>
    <w:rsid w:val="00E73037"/>
    <w:rsid w:val="00E86841"/>
    <w:rsid w:val="00E93958"/>
    <w:rsid w:val="00EB2644"/>
    <w:rsid w:val="00EB4851"/>
    <w:rsid w:val="00ED141C"/>
    <w:rsid w:val="00EF647C"/>
    <w:rsid w:val="00F1556C"/>
    <w:rsid w:val="00F56605"/>
    <w:rsid w:val="00FA1164"/>
    <w:rsid w:val="00FB1C85"/>
    <w:rsid w:val="00FF55FD"/>
    <w:rsid w:val="01B6463B"/>
    <w:rsid w:val="05896E8B"/>
    <w:rsid w:val="069E34B0"/>
    <w:rsid w:val="09CA3821"/>
    <w:rsid w:val="0BEE7143"/>
    <w:rsid w:val="10E81A2D"/>
    <w:rsid w:val="12DA1F31"/>
    <w:rsid w:val="13061C80"/>
    <w:rsid w:val="14994F41"/>
    <w:rsid w:val="14BC7431"/>
    <w:rsid w:val="15396956"/>
    <w:rsid w:val="1750680B"/>
    <w:rsid w:val="187956F4"/>
    <w:rsid w:val="1A9B2144"/>
    <w:rsid w:val="1B647080"/>
    <w:rsid w:val="1F242932"/>
    <w:rsid w:val="1FFD313D"/>
    <w:rsid w:val="23450179"/>
    <w:rsid w:val="253558C5"/>
    <w:rsid w:val="28B20DE6"/>
    <w:rsid w:val="300A293D"/>
    <w:rsid w:val="3B2B4EF7"/>
    <w:rsid w:val="3F597DF9"/>
    <w:rsid w:val="403E3D3E"/>
    <w:rsid w:val="41D04019"/>
    <w:rsid w:val="41E56C8A"/>
    <w:rsid w:val="430D5D22"/>
    <w:rsid w:val="469F73B7"/>
    <w:rsid w:val="476E0D02"/>
    <w:rsid w:val="48BF2F99"/>
    <w:rsid w:val="50631345"/>
    <w:rsid w:val="53AB6755"/>
    <w:rsid w:val="54213367"/>
    <w:rsid w:val="55F57F69"/>
    <w:rsid w:val="578C71EF"/>
    <w:rsid w:val="5846477D"/>
    <w:rsid w:val="58F81F28"/>
    <w:rsid w:val="591B2B7E"/>
    <w:rsid w:val="5A1973FB"/>
    <w:rsid w:val="5A404430"/>
    <w:rsid w:val="5C623F13"/>
    <w:rsid w:val="5D8D76A7"/>
    <w:rsid w:val="5DD6206B"/>
    <w:rsid w:val="61B95DE3"/>
    <w:rsid w:val="67083CA1"/>
    <w:rsid w:val="6A9164C6"/>
    <w:rsid w:val="6DA662F8"/>
    <w:rsid w:val="6ECD11B5"/>
    <w:rsid w:val="6F533EA4"/>
    <w:rsid w:val="6FB134CD"/>
    <w:rsid w:val="761F5EAB"/>
    <w:rsid w:val="76E60031"/>
    <w:rsid w:val="78F6631F"/>
    <w:rsid w:val="79201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Balloon Text"/>
    <w:basedOn w:val="1"/>
    <w:link w:val="17"/>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apple-converted-space"/>
    <w:basedOn w:val="10"/>
    <w:qFormat/>
    <w:uiPriority w:val="0"/>
  </w:style>
  <w:style w:type="paragraph" w:styleId="14">
    <w:name w:val="List Paragraph"/>
    <w:basedOn w:val="1"/>
    <w:qFormat/>
    <w:uiPriority w:val="99"/>
    <w:pPr>
      <w:ind w:firstLine="420" w:firstLineChars="200"/>
    </w:pPr>
  </w:style>
  <w:style w:type="character" w:customStyle="1" w:styleId="15">
    <w:name w:val="页眉 Char"/>
    <w:basedOn w:val="10"/>
    <w:link w:val="7"/>
    <w:semiHidden/>
    <w:qFormat/>
    <w:uiPriority w:val="99"/>
    <w:rPr>
      <w:sz w:val="18"/>
      <w:szCs w:val="18"/>
    </w:rPr>
  </w:style>
  <w:style w:type="character" w:customStyle="1" w:styleId="16">
    <w:name w:val="页脚 Char"/>
    <w:basedOn w:val="10"/>
    <w:link w:val="6"/>
    <w:semiHidden/>
    <w:qFormat/>
    <w:uiPriority w:val="99"/>
    <w:rPr>
      <w:sz w:val="18"/>
      <w:szCs w:val="18"/>
    </w:rPr>
  </w:style>
  <w:style w:type="character" w:customStyle="1" w:styleId="17">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3542</Words>
  <Characters>3898</Characters>
  <Lines>22</Lines>
  <Paragraphs>6</Paragraphs>
  <TotalTime>336</TotalTime>
  <ScaleCrop>false</ScaleCrop>
  <LinksUpToDate>false</LinksUpToDate>
  <CharactersWithSpaces>3925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2018-03-31T01:16:00Z</dcterms:created>
  <dc:creator>Administrator</dc:creator>
  <cp:lastModifiedBy>李芳</cp:lastModifiedBy>
  <cp:lastPrinted>2018-03-16T01:37:00Z</cp:lastPrinted>
  <dcterms:modified xsi:type="dcterms:W3CDTF">2022-05-04T09:18:40Z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CE4DB6B789F64C20806A955490BF890D</vt:lpwstr>
  </property>
</Properties>
</file>